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07728" w14:textId="77777777" w:rsidR="009401C2" w:rsidRDefault="009401C2">
      <w:pPr>
        <w:pStyle w:val="Title"/>
        <w:kinsoku w:val="0"/>
        <w:overflowPunct w:val="0"/>
        <w:spacing w:before="83"/>
        <w:rPr>
          <w:spacing w:val="-2"/>
          <w:w w:val="110"/>
        </w:rPr>
      </w:pPr>
      <w:r>
        <w:rPr>
          <w:spacing w:val="-2"/>
          <w:w w:val="110"/>
        </w:rPr>
        <w:t xml:space="preserve">COMMISSION ON HISTORICAL STATUES </w:t>
      </w:r>
    </w:p>
    <w:p w14:paraId="3117081A" w14:textId="001FC335" w:rsidR="00E448E5" w:rsidRDefault="009401C2">
      <w:pPr>
        <w:pStyle w:val="Title"/>
        <w:kinsoku w:val="0"/>
        <w:overflowPunct w:val="0"/>
        <w:spacing w:before="83"/>
        <w:rPr>
          <w:spacing w:val="-2"/>
          <w:w w:val="110"/>
        </w:rPr>
      </w:pPr>
      <w:r>
        <w:rPr>
          <w:spacing w:val="-2"/>
          <w:w w:val="110"/>
        </w:rPr>
        <w:t>IN THE UNITED STATES CAPITOL</w:t>
      </w:r>
    </w:p>
    <w:p w14:paraId="6BE1599B" w14:textId="77777777" w:rsidR="00E448E5" w:rsidRDefault="00E448E5">
      <w:pPr>
        <w:pStyle w:val="BodyText"/>
        <w:kinsoku w:val="0"/>
        <w:overflowPunct w:val="0"/>
        <w:spacing w:before="2"/>
        <w:ind w:left="0" w:firstLine="0"/>
        <w:rPr>
          <w:b/>
          <w:bCs/>
          <w:sz w:val="34"/>
          <w:szCs w:val="34"/>
        </w:rPr>
      </w:pPr>
    </w:p>
    <w:p w14:paraId="3E59F5ED" w14:textId="77777777" w:rsidR="0020291D" w:rsidRDefault="00F6400F">
      <w:pPr>
        <w:pStyle w:val="Title"/>
        <w:kinsoku w:val="0"/>
        <w:overflowPunct w:val="0"/>
        <w:spacing w:line="273" w:lineRule="auto"/>
        <w:ind w:left="592"/>
        <w:rPr>
          <w:w w:val="110"/>
        </w:rPr>
      </w:pPr>
      <w:r>
        <w:rPr>
          <w:w w:val="110"/>
        </w:rPr>
        <w:t xml:space="preserve">ELECTRONIC MEETINGS HELD UNDER </w:t>
      </w:r>
    </w:p>
    <w:p w14:paraId="3F376DA5" w14:textId="6A78FB9F" w:rsidR="00E448E5" w:rsidRDefault="00F6400F">
      <w:pPr>
        <w:pStyle w:val="Title"/>
        <w:kinsoku w:val="0"/>
        <w:overflowPunct w:val="0"/>
        <w:spacing w:line="273" w:lineRule="auto"/>
        <w:ind w:left="592"/>
        <w:rPr>
          <w:spacing w:val="-2"/>
          <w:w w:val="110"/>
        </w:rPr>
      </w:pPr>
      <w:r>
        <w:rPr>
          <w:w w:val="110"/>
        </w:rPr>
        <w:t xml:space="preserve">2.2-3708.3 OF THE CODE OF </w:t>
      </w:r>
      <w:r>
        <w:rPr>
          <w:spacing w:val="-2"/>
          <w:w w:val="110"/>
        </w:rPr>
        <w:t>VIRGINIA</w:t>
      </w:r>
    </w:p>
    <w:p w14:paraId="4C7620CB" w14:textId="77777777" w:rsidR="00E448E5" w:rsidRDefault="00E448E5">
      <w:pPr>
        <w:pStyle w:val="BodyText"/>
        <w:kinsoku w:val="0"/>
        <w:overflowPunct w:val="0"/>
        <w:spacing w:before="5"/>
        <w:ind w:left="0" w:firstLine="0"/>
        <w:rPr>
          <w:b/>
          <w:bCs/>
          <w:sz w:val="25"/>
          <w:szCs w:val="25"/>
        </w:rPr>
      </w:pPr>
    </w:p>
    <w:p w14:paraId="6AD4DB05" w14:textId="047D2FBB" w:rsidR="00E448E5" w:rsidRDefault="00F6400F">
      <w:pPr>
        <w:pStyle w:val="BodyText"/>
        <w:kinsoku w:val="0"/>
        <w:overflowPunct w:val="0"/>
        <w:spacing w:line="273" w:lineRule="auto"/>
        <w:ind w:left="100" w:right="77" w:firstLine="0"/>
      </w:pPr>
      <w:r>
        <w:t xml:space="preserve">This policy shall apply to the entire membership of the </w:t>
      </w:r>
      <w:r w:rsidR="009401C2">
        <w:t xml:space="preserve">Commission on Historical Statues in the United States Capitol </w:t>
      </w:r>
      <w:r>
        <w:t>(“</w:t>
      </w:r>
      <w:r w:rsidR="009401C2">
        <w:t>Commission</w:t>
      </w:r>
      <w:r>
        <w:t>”)</w:t>
      </w:r>
      <w:r>
        <w:rPr>
          <w:spacing w:val="40"/>
        </w:rPr>
        <w:t xml:space="preserve"> </w:t>
      </w:r>
      <w:r>
        <w:t>and without regard to the identity of the member requesting remote participation or the matters that will be considered or voted on at the meeting. Whenever an individual member</w:t>
      </w:r>
      <w:r>
        <w:rPr>
          <w:spacing w:val="40"/>
        </w:rPr>
        <w:t xml:space="preserve"> </w:t>
      </w:r>
      <w:r>
        <w:t xml:space="preserve">wishes to participate from a remote location, the law requires a quorum of the </w:t>
      </w:r>
      <w:r w:rsidR="009401C2">
        <w:t>Commission</w:t>
      </w:r>
      <w:r>
        <w:t xml:space="preserve"> to be physically assembled at the primary or central meeting location.</w:t>
      </w:r>
    </w:p>
    <w:p w14:paraId="02E32F67" w14:textId="77777777" w:rsidR="00E448E5" w:rsidRDefault="00E448E5">
      <w:pPr>
        <w:pStyle w:val="BodyText"/>
        <w:kinsoku w:val="0"/>
        <w:overflowPunct w:val="0"/>
        <w:ind w:left="0" w:firstLine="0"/>
        <w:rPr>
          <w:sz w:val="28"/>
          <w:szCs w:val="28"/>
        </w:rPr>
      </w:pPr>
    </w:p>
    <w:p w14:paraId="609E3B23" w14:textId="532E04E7" w:rsidR="00E448E5" w:rsidRDefault="00F6400F">
      <w:pPr>
        <w:pStyle w:val="ListParagraph"/>
        <w:numPr>
          <w:ilvl w:val="0"/>
          <w:numId w:val="1"/>
        </w:numPr>
        <w:tabs>
          <w:tab w:val="left" w:pos="820"/>
        </w:tabs>
        <w:kinsoku w:val="0"/>
        <w:overflowPunct w:val="0"/>
        <w:spacing w:before="0"/>
        <w:rPr>
          <w:spacing w:val="-2"/>
        </w:rPr>
      </w:pPr>
      <w:r>
        <w:t>Remote</w:t>
      </w:r>
      <w:r>
        <w:rPr>
          <w:spacing w:val="12"/>
        </w:rPr>
        <w:t xml:space="preserve"> </w:t>
      </w:r>
      <w:r>
        <w:t>Participation</w:t>
      </w:r>
      <w:r>
        <w:rPr>
          <w:spacing w:val="12"/>
        </w:rPr>
        <w:t xml:space="preserve"> </w:t>
      </w:r>
      <w:r>
        <w:t>by</w:t>
      </w:r>
      <w:r>
        <w:rPr>
          <w:spacing w:val="12"/>
        </w:rPr>
        <w:t xml:space="preserve"> </w:t>
      </w:r>
      <w:r>
        <w:t>an</w:t>
      </w:r>
      <w:r>
        <w:rPr>
          <w:spacing w:val="12"/>
        </w:rPr>
        <w:t xml:space="preserve"> </w:t>
      </w:r>
      <w:r>
        <w:t>Individual</w:t>
      </w:r>
      <w:r>
        <w:rPr>
          <w:spacing w:val="12"/>
        </w:rPr>
        <w:t xml:space="preserve"> </w:t>
      </w:r>
      <w:r>
        <w:t>Member</w:t>
      </w:r>
      <w:r>
        <w:rPr>
          <w:spacing w:val="12"/>
        </w:rPr>
        <w:t xml:space="preserve"> </w:t>
      </w:r>
      <w:r>
        <w:t>of</w:t>
      </w:r>
      <w:r>
        <w:rPr>
          <w:spacing w:val="12"/>
        </w:rPr>
        <w:t xml:space="preserve"> </w:t>
      </w:r>
      <w:r>
        <w:t>the</w:t>
      </w:r>
      <w:r>
        <w:rPr>
          <w:spacing w:val="12"/>
        </w:rPr>
        <w:t xml:space="preserve"> </w:t>
      </w:r>
      <w:r w:rsidR="009401C2">
        <w:rPr>
          <w:spacing w:val="12"/>
        </w:rPr>
        <w:t>Commission</w:t>
      </w:r>
    </w:p>
    <w:p w14:paraId="314F9AD0" w14:textId="31118BFF" w:rsidR="00E448E5" w:rsidRDefault="00F6400F">
      <w:pPr>
        <w:pStyle w:val="ListParagraph"/>
        <w:numPr>
          <w:ilvl w:val="1"/>
          <w:numId w:val="1"/>
        </w:numPr>
        <w:tabs>
          <w:tab w:val="left" w:pos="1540"/>
        </w:tabs>
        <w:kinsoku w:val="0"/>
        <w:overflowPunct w:val="0"/>
        <w:spacing w:before="43" w:line="273" w:lineRule="auto"/>
        <w:ind w:right="960"/>
        <w:rPr>
          <w:w w:val="105"/>
        </w:rPr>
      </w:pPr>
      <w:r>
        <w:rPr>
          <w:spacing w:val="-2"/>
          <w:w w:val="105"/>
        </w:rPr>
        <w:t>It</w:t>
      </w:r>
      <w:r>
        <w:rPr>
          <w:spacing w:val="-7"/>
          <w:w w:val="105"/>
        </w:rPr>
        <w:t xml:space="preserve"> </w:t>
      </w:r>
      <w:r>
        <w:rPr>
          <w:spacing w:val="-2"/>
          <w:w w:val="105"/>
        </w:rPr>
        <w:t>is</w:t>
      </w:r>
      <w:r>
        <w:rPr>
          <w:spacing w:val="-7"/>
          <w:w w:val="105"/>
        </w:rPr>
        <w:t xml:space="preserve"> </w:t>
      </w:r>
      <w:r>
        <w:rPr>
          <w:spacing w:val="-2"/>
          <w:w w:val="105"/>
        </w:rPr>
        <w:t>the</w:t>
      </w:r>
      <w:r>
        <w:rPr>
          <w:spacing w:val="-7"/>
          <w:w w:val="105"/>
        </w:rPr>
        <w:t xml:space="preserve"> </w:t>
      </w:r>
      <w:r>
        <w:rPr>
          <w:spacing w:val="-2"/>
          <w:w w:val="105"/>
        </w:rPr>
        <w:t>policy</w:t>
      </w:r>
      <w:r>
        <w:rPr>
          <w:spacing w:val="-7"/>
          <w:w w:val="105"/>
        </w:rPr>
        <w:t xml:space="preserve"> </w:t>
      </w:r>
      <w:r>
        <w:rPr>
          <w:spacing w:val="-2"/>
          <w:w w:val="105"/>
        </w:rPr>
        <w:t>of</w:t>
      </w:r>
      <w:r>
        <w:rPr>
          <w:spacing w:val="-7"/>
          <w:w w:val="105"/>
        </w:rPr>
        <w:t xml:space="preserve"> </w:t>
      </w:r>
      <w:r>
        <w:rPr>
          <w:spacing w:val="-2"/>
          <w:w w:val="105"/>
        </w:rPr>
        <w:t>the</w:t>
      </w:r>
      <w:r>
        <w:rPr>
          <w:spacing w:val="-7"/>
          <w:w w:val="105"/>
        </w:rPr>
        <w:t xml:space="preserve"> </w:t>
      </w:r>
      <w:r w:rsidR="009401C2">
        <w:rPr>
          <w:spacing w:val="-7"/>
          <w:w w:val="105"/>
        </w:rPr>
        <w:t>Commission</w:t>
      </w:r>
      <w:r>
        <w:rPr>
          <w:spacing w:val="-7"/>
          <w:w w:val="105"/>
        </w:rPr>
        <w:t xml:space="preserve"> </w:t>
      </w:r>
      <w:r>
        <w:rPr>
          <w:spacing w:val="-2"/>
          <w:w w:val="105"/>
        </w:rPr>
        <w:t>that</w:t>
      </w:r>
      <w:r>
        <w:rPr>
          <w:spacing w:val="-7"/>
          <w:w w:val="105"/>
        </w:rPr>
        <w:t xml:space="preserve"> </w:t>
      </w:r>
      <w:r>
        <w:rPr>
          <w:spacing w:val="-2"/>
          <w:w w:val="105"/>
        </w:rPr>
        <w:t>individual</w:t>
      </w:r>
      <w:r>
        <w:rPr>
          <w:spacing w:val="-7"/>
          <w:w w:val="105"/>
        </w:rPr>
        <w:t xml:space="preserve"> </w:t>
      </w:r>
      <w:r>
        <w:rPr>
          <w:spacing w:val="-2"/>
          <w:w w:val="105"/>
        </w:rPr>
        <w:t>members</w:t>
      </w:r>
      <w:r>
        <w:rPr>
          <w:spacing w:val="-7"/>
          <w:w w:val="105"/>
        </w:rPr>
        <w:t xml:space="preserve"> </w:t>
      </w:r>
      <w:r>
        <w:rPr>
          <w:spacing w:val="-2"/>
          <w:w w:val="105"/>
        </w:rPr>
        <w:t>may</w:t>
      </w:r>
      <w:r>
        <w:rPr>
          <w:spacing w:val="-7"/>
          <w:w w:val="105"/>
        </w:rPr>
        <w:t xml:space="preserve"> </w:t>
      </w:r>
      <w:r>
        <w:rPr>
          <w:spacing w:val="-2"/>
          <w:w w:val="105"/>
        </w:rPr>
        <w:t>participate</w:t>
      </w:r>
      <w:r>
        <w:rPr>
          <w:spacing w:val="-7"/>
          <w:w w:val="105"/>
        </w:rPr>
        <w:t xml:space="preserve"> </w:t>
      </w:r>
      <w:r>
        <w:rPr>
          <w:spacing w:val="-2"/>
          <w:w w:val="105"/>
        </w:rPr>
        <w:t xml:space="preserve">in </w:t>
      </w:r>
      <w:r>
        <w:rPr>
          <w:w w:val="105"/>
        </w:rPr>
        <w:t xml:space="preserve">meetings of the </w:t>
      </w:r>
      <w:r w:rsidR="009401C2">
        <w:rPr>
          <w:w w:val="105"/>
        </w:rPr>
        <w:t>Commission</w:t>
      </w:r>
      <w:r>
        <w:rPr>
          <w:w w:val="105"/>
        </w:rPr>
        <w:t xml:space="preserve"> by electronic communication as permitted by 2.2-3708.3 of the Code of Virginia.</w:t>
      </w:r>
    </w:p>
    <w:p w14:paraId="55F2FA06" w14:textId="77777777" w:rsidR="00E448E5" w:rsidRDefault="00F6400F">
      <w:pPr>
        <w:pStyle w:val="ListParagraph"/>
        <w:numPr>
          <w:ilvl w:val="1"/>
          <w:numId w:val="1"/>
        </w:numPr>
        <w:tabs>
          <w:tab w:val="left" w:pos="1540"/>
        </w:tabs>
        <w:kinsoku w:val="0"/>
        <w:overflowPunct w:val="0"/>
        <w:spacing w:line="273" w:lineRule="auto"/>
        <w:ind w:right="192"/>
      </w:pPr>
      <w:r>
        <w:t>When such individual participation is due to a personal matter, such participation is limited by law to two meetings per calendar year or 25 percent of the meetings held per calendar year rounded up to the next whole number, whichever is greater.</w:t>
      </w:r>
    </w:p>
    <w:p w14:paraId="656E9790" w14:textId="3688D67A" w:rsidR="00E448E5" w:rsidRDefault="00F6400F">
      <w:pPr>
        <w:pStyle w:val="ListParagraph"/>
        <w:numPr>
          <w:ilvl w:val="1"/>
          <w:numId w:val="1"/>
        </w:numPr>
        <w:tabs>
          <w:tab w:val="left" w:pos="1540"/>
        </w:tabs>
        <w:kinsoku w:val="0"/>
        <w:overflowPunct w:val="0"/>
        <w:spacing w:before="5" w:line="273" w:lineRule="auto"/>
        <w:ind w:right="133"/>
      </w:pPr>
      <w:r>
        <w:t>Individual participation from a remote location shall be approved unless such participation would violate this policy or the provisions of the Virginia Freedom of Information Act (2.2-3700 et seq. Of the Code of Virginia). If a member’s</w:t>
      </w:r>
      <w:r>
        <w:rPr>
          <w:spacing w:val="80"/>
        </w:rPr>
        <w:t xml:space="preserve"> </w:t>
      </w:r>
      <w:r>
        <w:t xml:space="preserve">participation from a remote location is challenged, then the </w:t>
      </w:r>
      <w:r w:rsidR="009401C2">
        <w:t xml:space="preserve">Commission </w:t>
      </w:r>
      <w:r>
        <w:t>shall vote whether to allow such participation.</w:t>
      </w:r>
    </w:p>
    <w:p w14:paraId="5EB951EB" w14:textId="77777777" w:rsidR="00E448E5" w:rsidRDefault="00E448E5">
      <w:pPr>
        <w:pStyle w:val="BodyText"/>
        <w:kinsoku w:val="0"/>
        <w:overflowPunct w:val="0"/>
        <w:ind w:left="0" w:firstLine="0"/>
        <w:rPr>
          <w:sz w:val="28"/>
          <w:szCs w:val="28"/>
        </w:rPr>
      </w:pPr>
    </w:p>
    <w:p w14:paraId="06887FB6" w14:textId="77777777" w:rsidR="00E448E5" w:rsidRDefault="00F6400F">
      <w:pPr>
        <w:pStyle w:val="ListParagraph"/>
        <w:numPr>
          <w:ilvl w:val="0"/>
          <w:numId w:val="1"/>
        </w:numPr>
        <w:tabs>
          <w:tab w:val="left" w:pos="820"/>
        </w:tabs>
        <w:kinsoku w:val="0"/>
        <w:overflowPunct w:val="0"/>
        <w:spacing w:before="0"/>
        <w:ind w:hanging="533"/>
        <w:rPr>
          <w:spacing w:val="-4"/>
        </w:rPr>
      </w:pPr>
      <w:r>
        <w:t>Remote</w:t>
      </w:r>
      <w:r>
        <w:rPr>
          <w:spacing w:val="12"/>
        </w:rPr>
        <w:t xml:space="preserve"> </w:t>
      </w:r>
      <w:r>
        <w:t>Participation</w:t>
      </w:r>
      <w:r>
        <w:rPr>
          <w:spacing w:val="13"/>
        </w:rPr>
        <w:t xml:space="preserve"> </w:t>
      </w:r>
      <w:r>
        <w:t>by</w:t>
      </w:r>
      <w:r>
        <w:rPr>
          <w:spacing w:val="13"/>
        </w:rPr>
        <w:t xml:space="preserve"> </w:t>
      </w:r>
      <w:r>
        <w:t>the</w:t>
      </w:r>
      <w:r>
        <w:rPr>
          <w:spacing w:val="13"/>
        </w:rPr>
        <w:t xml:space="preserve"> </w:t>
      </w:r>
      <w:r>
        <w:t>Entire</w:t>
      </w:r>
      <w:r>
        <w:rPr>
          <w:spacing w:val="13"/>
        </w:rPr>
        <w:t xml:space="preserve"> </w:t>
      </w:r>
      <w:r>
        <w:rPr>
          <w:spacing w:val="-4"/>
        </w:rPr>
        <w:t>Body</w:t>
      </w:r>
    </w:p>
    <w:p w14:paraId="3D982CB4" w14:textId="700DD75B" w:rsidR="00E448E5" w:rsidRDefault="00F6400F">
      <w:pPr>
        <w:pStyle w:val="ListParagraph"/>
        <w:numPr>
          <w:ilvl w:val="1"/>
          <w:numId w:val="1"/>
        </w:numPr>
        <w:tabs>
          <w:tab w:val="left" w:pos="1540"/>
        </w:tabs>
        <w:kinsoku w:val="0"/>
        <w:overflowPunct w:val="0"/>
        <w:spacing w:before="43" w:line="273" w:lineRule="auto"/>
        <w:ind w:right="120"/>
      </w:pPr>
      <w:r>
        <w:t xml:space="preserve">It is the policy of the </w:t>
      </w:r>
      <w:r w:rsidR="009401C2">
        <w:t xml:space="preserve">Commission </w:t>
      </w:r>
      <w:r>
        <w:t>that it may hold all virtual public meetings pursuant to subsection C of 2.2-3708.3.</w:t>
      </w:r>
    </w:p>
    <w:p w14:paraId="11F7C917" w14:textId="154A02B0" w:rsidR="00E448E5" w:rsidRDefault="00F6400F">
      <w:pPr>
        <w:pStyle w:val="ListParagraph"/>
        <w:numPr>
          <w:ilvl w:val="1"/>
          <w:numId w:val="1"/>
        </w:numPr>
        <w:tabs>
          <w:tab w:val="left" w:pos="1540"/>
        </w:tabs>
        <w:kinsoku w:val="0"/>
        <w:overflowPunct w:val="0"/>
        <w:spacing w:before="3" w:line="273" w:lineRule="auto"/>
        <w:ind w:right="515"/>
      </w:pPr>
      <w:r>
        <w:t xml:space="preserve">Requests for remote participation or that the </w:t>
      </w:r>
      <w:r w:rsidR="009401C2">
        <w:t xml:space="preserve">Commission </w:t>
      </w:r>
      <w:r>
        <w:t>conduct an all-virtual public meeting shall be conveyed to staff to the Board who shall then relay such requests to the chair of the public body.</w:t>
      </w:r>
    </w:p>
    <w:p w14:paraId="69EA26B5" w14:textId="77777777" w:rsidR="00E448E5" w:rsidRPr="008E3968" w:rsidRDefault="00F6400F">
      <w:pPr>
        <w:pStyle w:val="ListParagraph"/>
        <w:numPr>
          <w:ilvl w:val="1"/>
          <w:numId w:val="1"/>
        </w:numPr>
        <w:tabs>
          <w:tab w:val="left" w:pos="1540"/>
        </w:tabs>
        <w:kinsoku w:val="0"/>
        <w:overflowPunct w:val="0"/>
        <w:spacing w:line="273" w:lineRule="auto"/>
        <w:ind w:right="120"/>
        <w:rPr>
          <w:highlight w:val="yellow"/>
        </w:rPr>
      </w:pPr>
      <w:r w:rsidRPr="008E3968">
        <w:rPr>
          <w:highlight w:val="yellow"/>
        </w:rPr>
        <w:t>Such all-virtual public meetings are also limited by law to two meetings per</w:t>
      </w:r>
      <w:r w:rsidRPr="008E3968">
        <w:rPr>
          <w:spacing w:val="40"/>
          <w:highlight w:val="yellow"/>
        </w:rPr>
        <w:t xml:space="preserve"> </w:t>
      </w:r>
      <w:r w:rsidRPr="008E3968">
        <w:rPr>
          <w:highlight w:val="yellow"/>
        </w:rPr>
        <w:t>calendar year or 25 percent of the meetings held per calendar year rounded up to the next whole number, whichever is greater.</w:t>
      </w:r>
    </w:p>
    <w:p w14:paraId="56DBE62A" w14:textId="77777777" w:rsidR="00E448E5" w:rsidRPr="008E3968" w:rsidRDefault="00F6400F">
      <w:pPr>
        <w:pStyle w:val="ListParagraph"/>
        <w:numPr>
          <w:ilvl w:val="1"/>
          <w:numId w:val="1"/>
        </w:numPr>
        <w:tabs>
          <w:tab w:val="left" w:pos="1540"/>
        </w:tabs>
        <w:kinsoku w:val="0"/>
        <w:overflowPunct w:val="0"/>
        <w:spacing w:line="273" w:lineRule="auto"/>
        <w:ind w:right="704"/>
        <w:rPr>
          <w:w w:val="105"/>
          <w:highlight w:val="yellow"/>
        </w:rPr>
      </w:pPr>
      <w:r w:rsidRPr="008E3968">
        <w:rPr>
          <w:w w:val="105"/>
          <w:highlight w:val="yellow"/>
        </w:rPr>
        <w:t>An</w:t>
      </w:r>
      <w:r w:rsidRPr="008E3968">
        <w:rPr>
          <w:spacing w:val="-15"/>
          <w:w w:val="105"/>
          <w:highlight w:val="yellow"/>
        </w:rPr>
        <w:t xml:space="preserve"> </w:t>
      </w:r>
      <w:r w:rsidRPr="008E3968">
        <w:rPr>
          <w:w w:val="105"/>
          <w:highlight w:val="yellow"/>
        </w:rPr>
        <w:t>all-virtual</w:t>
      </w:r>
      <w:r w:rsidRPr="008E3968">
        <w:rPr>
          <w:spacing w:val="-14"/>
          <w:w w:val="105"/>
          <w:highlight w:val="yellow"/>
        </w:rPr>
        <w:t xml:space="preserve"> </w:t>
      </w:r>
      <w:r w:rsidRPr="008E3968">
        <w:rPr>
          <w:w w:val="105"/>
          <w:highlight w:val="yellow"/>
        </w:rPr>
        <w:t>public</w:t>
      </w:r>
      <w:r w:rsidRPr="008E3968">
        <w:rPr>
          <w:spacing w:val="-14"/>
          <w:w w:val="105"/>
          <w:highlight w:val="yellow"/>
        </w:rPr>
        <w:t xml:space="preserve"> </w:t>
      </w:r>
      <w:r w:rsidRPr="008E3968">
        <w:rPr>
          <w:w w:val="105"/>
          <w:highlight w:val="yellow"/>
        </w:rPr>
        <w:t>meeting</w:t>
      </w:r>
      <w:r w:rsidRPr="008E3968">
        <w:rPr>
          <w:spacing w:val="-14"/>
          <w:w w:val="105"/>
          <w:highlight w:val="yellow"/>
        </w:rPr>
        <w:t xml:space="preserve"> </w:t>
      </w:r>
      <w:r w:rsidRPr="008E3968">
        <w:rPr>
          <w:w w:val="105"/>
          <w:highlight w:val="yellow"/>
        </w:rPr>
        <w:t>may</w:t>
      </w:r>
      <w:r w:rsidRPr="008E3968">
        <w:rPr>
          <w:spacing w:val="-15"/>
          <w:w w:val="105"/>
          <w:highlight w:val="yellow"/>
        </w:rPr>
        <w:t xml:space="preserve"> </w:t>
      </w:r>
      <w:r w:rsidRPr="008E3968">
        <w:rPr>
          <w:w w:val="105"/>
          <w:highlight w:val="yellow"/>
        </w:rPr>
        <w:t>not</w:t>
      </w:r>
      <w:r w:rsidRPr="008E3968">
        <w:rPr>
          <w:spacing w:val="-14"/>
          <w:w w:val="105"/>
          <w:highlight w:val="yellow"/>
        </w:rPr>
        <w:t xml:space="preserve"> </w:t>
      </w:r>
      <w:r w:rsidRPr="008E3968">
        <w:rPr>
          <w:w w:val="105"/>
          <w:highlight w:val="yellow"/>
        </w:rPr>
        <w:t>be</w:t>
      </w:r>
      <w:r w:rsidRPr="008E3968">
        <w:rPr>
          <w:spacing w:val="-14"/>
          <w:w w:val="105"/>
          <w:highlight w:val="yellow"/>
        </w:rPr>
        <w:t xml:space="preserve"> </w:t>
      </w:r>
      <w:r w:rsidRPr="008E3968">
        <w:rPr>
          <w:w w:val="105"/>
          <w:highlight w:val="yellow"/>
        </w:rPr>
        <w:t>held</w:t>
      </w:r>
      <w:r w:rsidRPr="008E3968">
        <w:rPr>
          <w:spacing w:val="-14"/>
          <w:w w:val="105"/>
          <w:highlight w:val="yellow"/>
        </w:rPr>
        <w:t xml:space="preserve"> </w:t>
      </w:r>
      <w:r w:rsidRPr="008E3968">
        <w:rPr>
          <w:w w:val="105"/>
          <w:highlight w:val="yellow"/>
        </w:rPr>
        <w:t>consecutively</w:t>
      </w:r>
      <w:r w:rsidRPr="008E3968">
        <w:rPr>
          <w:spacing w:val="-15"/>
          <w:w w:val="105"/>
          <w:highlight w:val="yellow"/>
        </w:rPr>
        <w:t xml:space="preserve"> </w:t>
      </w:r>
      <w:r w:rsidRPr="008E3968">
        <w:rPr>
          <w:w w:val="105"/>
          <w:highlight w:val="yellow"/>
        </w:rPr>
        <w:t>with</w:t>
      </w:r>
      <w:r w:rsidRPr="008E3968">
        <w:rPr>
          <w:spacing w:val="-14"/>
          <w:w w:val="105"/>
          <w:highlight w:val="yellow"/>
        </w:rPr>
        <w:t xml:space="preserve"> </w:t>
      </w:r>
      <w:r w:rsidRPr="008E3968">
        <w:rPr>
          <w:w w:val="105"/>
          <w:highlight w:val="yellow"/>
        </w:rPr>
        <w:t>another all-virtual public meeting.</w:t>
      </w:r>
    </w:p>
    <w:p w14:paraId="4D19AF20" w14:textId="77777777" w:rsidR="00E448E5" w:rsidRDefault="00E448E5">
      <w:pPr>
        <w:pStyle w:val="ListParagraph"/>
        <w:numPr>
          <w:ilvl w:val="1"/>
          <w:numId w:val="1"/>
        </w:numPr>
        <w:tabs>
          <w:tab w:val="left" w:pos="1540"/>
        </w:tabs>
        <w:kinsoku w:val="0"/>
        <w:overflowPunct w:val="0"/>
        <w:spacing w:line="273" w:lineRule="auto"/>
        <w:ind w:right="704"/>
        <w:rPr>
          <w:w w:val="105"/>
        </w:rPr>
        <w:sectPr w:rsidR="00E448E5">
          <w:type w:val="continuous"/>
          <w:pgSz w:w="12240" w:h="15840"/>
          <w:pgMar w:top="1360" w:right="1340" w:bottom="280" w:left="1340" w:header="720" w:footer="720" w:gutter="0"/>
          <w:cols w:space="720"/>
          <w:noEndnote/>
        </w:sectPr>
      </w:pPr>
    </w:p>
    <w:p w14:paraId="6D603E9B" w14:textId="77777777" w:rsidR="00E448E5" w:rsidRDefault="00F6400F">
      <w:pPr>
        <w:pStyle w:val="ListParagraph"/>
        <w:numPr>
          <w:ilvl w:val="0"/>
          <w:numId w:val="1"/>
        </w:numPr>
        <w:tabs>
          <w:tab w:val="left" w:pos="820"/>
        </w:tabs>
        <w:kinsoku w:val="0"/>
        <w:overflowPunct w:val="0"/>
        <w:spacing w:before="83"/>
        <w:ind w:hanging="594"/>
        <w:rPr>
          <w:spacing w:val="-2"/>
        </w:rPr>
      </w:pPr>
      <w:r>
        <w:lastRenderedPageBreak/>
        <w:t>Minutes</w:t>
      </w:r>
      <w:r>
        <w:rPr>
          <w:spacing w:val="-9"/>
        </w:rPr>
        <w:t xml:space="preserve"> </w:t>
      </w:r>
      <w:r>
        <w:rPr>
          <w:spacing w:val="-2"/>
        </w:rPr>
        <w:t>Requirement</w:t>
      </w:r>
    </w:p>
    <w:p w14:paraId="204EB44D" w14:textId="3CA56ED8" w:rsidR="00E448E5" w:rsidRDefault="00F6400F">
      <w:pPr>
        <w:pStyle w:val="ListParagraph"/>
        <w:numPr>
          <w:ilvl w:val="1"/>
          <w:numId w:val="1"/>
        </w:numPr>
        <w:tabs>
          <w:tab w:val="left" w:pos="1540"/>
        </w:tabs>
        <w:kinsoku w:val="0"/>
        <w:overflowPunct w:val="0"/>
        <w:spacing w:before="42" w:line="273" w:lineRule="auto"/>
        <w:ind w:right="433"/>
      </w:pPr>
      <w:r>
        <w:t xml:space="preserve">The request for remote participation or that the </w:t>
      </w:r>
      <w:r w:rsidR="009401C2">
        <w:t xml:space="preserve">Commission </w:t>
      </w:r>
      <w:r>
        <w:t>conduct an all-virtual public meeting shall be recorded in the minutes of the meeting.</w:t>
      </w:r>
    </w:p>
    <w:p w14:paraId="0667A858" w14:textId="4E7F20AC" w:rsidR="00E448E5" w:rsidRDefault="00F6400F">
      <w:pPr>
        <w:pStyle w:val="ListParagraph"/>
        <w:numPr>
          <w:ilvl w:val="1"/>
          <w:numId w:val="1"/>
        </w:numPr>
        <w:tabs>
          <w:tab w:val="left" w:pos="1540"/>
        </w:tabs>
        <w:kinsoku w:val="0"/>
        <w:overflowPunct w:val="0"/>
        <w:spacing w:before="3" w:line="273" w:lineRule="auto"/>
        <w:ind w:right="111"/>
      </w:pPr>
      <w:r>
        <w:t xml:space="preserve">If the </w:t>
      </w:r>
      <w:r w:rsidR="009401C2">
        <w:t xml:space="preserve">Commission </w:t>
      </w:r>
      <w:r>
        <w:t>votes to disapprove of the member’s participation because such participation would violate this policy, such disapproval shall be recorded in the minutes with specificity.</w:t>
      </w:r>
    </w:p>
    <w:p w14:paraId="51B1FE8D" w14:textId="77777777" w:rsidR="00F6400F" w:rsidRDefault="00F6400F">
      <w:pPr>
        <w:pStyle w:val="ListParagraph"/>
        <w:numPr>
          <w:ilvl w:val="1"/>
          <w:numId w:val="1"/>
        </w:numPr>
        <w:tabs>
          <w:tab w:val="left" w:pos="1540"/>
        </w:tabs>
        <w:kinsoku w:val="0"/>
        <w:overflowPunct w:val="0"/>
        <w:spacing w:line="273" w:lineRule="auto"/>
        <w:ind w:right="462"/>
      </w:pPr>
      <w:r>
        <w:t>The minutes shall include other information as required by 2.2-3708.3 depending on the type of remote participation or all-virtual public meeting.</w:t>
      </w:r>
    </w:p>
    <w:sectPr w:rsidR="00F6400F">
      <w:pgSz w:w="12240" w:h="15840"/>
      <w:pgMar w:top="136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Roman"/>
      <w:lvlText w:val="%1."/>
      <w:lvlJc w:val="left"/>
      <w:pPr>
        <w:ind w:left="820" w:hanging="472"/>
      </w:pPr>
      <w:rPr>
        <w:rFonts w:ascii="Calibri" w:hAnsi="Calibri" w:cs="Calibri"/>
        <w:b w:val="0"/>
        <w:bCs w:val="0"/>
        <w:i w:val="0"/>
        <w:iCs w:val="0"/>
        <w:w w:val="82"/>
        <w:sz w:val="24"/>
        <w:szCs w:val="24"/>
      </w:rPr>
    </w:lvl>
    <w:lvl w:ilvl="1">
      <w:start w:val="1"/>
      <w:numFmt w:val="upperLetter"/>
      <w:lvlText w:val="%2."/>
      <w:lvlJc w:val="left"/>
      <w:pPr>
        <w:ind w:left="1540" w:hanging="360"/>
      </w:pPr>
      <w:rPr>
        <w:rFonts w:ascii="Calibri" w:hAnsi="Calibri" w:cs="Calibri"/>
        <w:b w:val="0"/>
        <w:bCs w:val="0"/>
        <w:i w:val="0"/>
        <w:iCs w:val="0"/>
        <w:w w:val="82"/>
        <w:sz w:val="24"/>
        <w:szCs w:val="24"/>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num w:numId="1" w16cid:durableId="63229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C2"/>
    <w:rsid w:val="0020291D"/>
    <w:rsid w:val="008E3968"/>
    <w:rsid w:val="009401C2"/>
    <w:rsid w:val="00CD3EB9"/>
    <w:rsid w:val="00E448E5"/>
    <w:rsid w:val="00F6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B0D81"/>
  <w14:defaultImageDpi w14:val="0"/>
  <w15:docId w15:val="{82C4B4CB-38A2-40C6-99EB-FD0DF5BF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40" w:hanging="360"/>
    </w:pPr>
    <w:rPr>
      <w:sz w:val="24"/>
      <w:szCs w:val="24"/>
    </w:rPr>
  </w:style>
  <w:style w:type="character" w:customStyle="1" w:styleId="BodyTextChar">
    <w:name w:val="Body Text Char"/>
    <w:basedOn w:val="DefaultParagraphFont"/>
    <w:link w:val="BodyText"/>
    <w:uiPriority w:val="99"/>
    <w:semiHidden/>
    <w:rPr>
      <w:rFonts w:ascii="Calibri" w:hAnsi="Calibri" w:cs="Calibri"/>
    </w:rPr>
  </w:style>
  <w:style w:type="paragraph" w:styleId="Title">
    <w:name w:val="Title"/>
    <w:basedOn w:val="Normal"/>
    <w:next w:val="Normal"/>
    <w:link w:val="TitleChar"/>
    <w:uiPriority w:val="1"/>
    <w:qFormat/>
    <w:pPr>
      <w:ind w:left="590" w:right="590"/>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4"/>
      <w:ind w:left="154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2206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MEETING POLICY</dc:title>
  <dc:subject/>
  <dc:creator>Langan, Julie (DHR)</dc:creator>
  <cp:keywords/>
  <dc:description/>
  <cp:lastModifiedBy>Langan, Julie (DHR)</cp:lastModifiedBy>
  <cp:revision>2</cp:revision>
  <dcterms:created xsi:type="dcterms:W3CDTF">2025-01-10T16:27:00Z</dcterms:created>
  <dcterms:modified xsi:type="dcterms:W3CDTF">2025-01-10T16:27:00Z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m110 Google Docs Renderer</vt:lpwstr>
  </property>
</Properties>
</file>